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Peek &amp; Cloppenburg na rynku europejskim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chcesz dowiedzieć się, jak Peek &amp; Cloppenburg od małego butiku stał się jednym z najbardziej prestiżowych sklepów odzieżowych w Europie? Przeczytaj nasz artykuł i poznaj kluczowe czynniki sukcesu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Peek &amp; Cloppenburg to marka odzieżowa, która zaczynała jako skromny butik w Düsseldorfie w 1901 roku. Dzisiaj jest jednym z najbardziej znanych i prestiżowych sklepów odzieżowych w Europie, z ponad 140 sklepami w 15 krajach. Istnieją różne czynniki, które przyczyniły się do sukcesu marki na rynku europejskim.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czynniki sukcesu Peek &amp; Cloppenburg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kluczowym czynnikiem sukcesu Peek &amp; Cloppenburg jest silna strategia marki i marketingu. Marka zawsze stawiała na wysokiej jakości produkty, zgodne z najnowszymi trendami mody. Wszystkie sklepy stacjonarne są wyposażone w elegancki wystrój, który dodaje prestiżu marki. Ponadto, marka nieustannie inwestuje w reklamę i promocję, aby zyskać większą rozpoznawalność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czynnikiem jest dywersyfikacja oferty.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Peek &amp; Cloppenburg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szeroką gamę produktów dla różnych grup wiekowych i stylów. W ten sposób marka przyciąga różne grupy klientów i oferuje im bogaty wybór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czynnikiem wzrostu jest rozwój e-commerce. W dzisiejszych czasach coraz więcej ludzi robi zakupy online, a Peek &amp; Cloppenburg zdecydowanie to wykorzystało. Marka oferuje pełen zakres usług e-commerce, w tym sklep internetowy i aplikacje mobilne, co przyczyniło się do zwiększenia sprzedaży i zasięgu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5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 jako ważny czynnik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</w:t>
      </w:r>
      <w:r>
        <w:rPr>
          <w:rFonts w:ascii="calibri" w:hAnsi="calibri" w:eastAsia="calibri" w:cs="calibri"/>
          <w:sz w:val="24"/>
          <w:szCs w:val="24"/>
          <w:b/>
        </w:rPr>
        <w:t xml:space="preserve">ważnym czynnikiem sukcesu Peek &amp; Cloppenburg jest zwracanie uwagi na zrównoważony rozwój.</w:t>
      </w:r>
      <w:r>
        <w:rPr>
          <w:rFonts w:ascii="calibri" w:hAnsi="calibri" w:eastAsia="calibri" w:cs="calibri"/>
          <w:sz w:val="24"/>
          <w:szCs w:val="24"/>
        </w:rPr>
        <w:t xml:space="preserve"> Marka zdaje sobie sprawę z wpływu branży odzieżowej na środowisko, dlatego podejmuje aktywne działania na rzecz ochrony środowiska. Firma wprowadziła programy zrównoważonego rozwoju, takie jak recykling i zmniejszenie zużycia wody, co przyciąga klientów, którzy zwracają uwagę na ekologię.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2026-01-01T04:44:56+01:00</dcterms:created>
  <dcterms:modified xsi:type="dcterms:W3CDTF">2026-01-01T04:44:56+01:00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